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39A6" w:rsidRPr="0051626E" w:rsidRDefault="002A39A6" w:rsidP="002A39A6">
      <w:pPr>
        <w:pStyle w:val="NormalWeb"/>
        <w:rPr>
          <w:rFonts w:asciiTheme="minorHAnsi" w:hAnsiTheme="minorHAnsi"/>
        </w:rPr>
      </w:pPr>
      <w:r w:rsidRPr="0051626E">
        <w:rPr>
          <w:rFonts w:asciiTheme="minorHAnsi" w:hAnsiTheme="minorHAnsi"/>
        </w:rPr>
        <w:t>HEI Liaisons Call - Agenda 10/15/2015:</w:t>
      </w:r>
    </w:p>
    <w:p w:rsidR="002A39A6" w:rsidRDefault="002A39A6" w:rsidP="0051626E">
      <w:pPr>
        <w:pStyle w:val="NormalWeb"/>
        <w:numPr>
          <w:ilvl w:val="0"/>
          <w:numId w:val="1"/>
        </w:numPr>
        <w:rPr>
          <w:rFonts w:asciiTheme="minorHAnsi" w:hAnsiTheme="minorHAnsi"/>
        </w:rPr>
      </w:pPr>
      <w:r w:rsidRPr="0051626E">
        <w:rPr>
          <w:rFonts w:asciiTheme="minorHAnsi" w:hAnsiTheme="minorHAnsi"/>
        </w:rPr>
        <w:t>CCP - any outstanding issues?</w:t>
      </w:r>
      <w:r w:rsidR="0051626E" w:rsidRPr="0051626E">
        <w:rPr>
          <w:rFonts w:asciiTheme="minorHAnsi" w:hAnsiTheme="minorHAnsi"/>
        </w:rPr>
        <w:t xml:space="preserve"> </w:t>
      </w:r>
      <w:r w:rsidR="0051626E">
        <w:rPr>
          <w:rFonts w:asciiTheme="minorHAnsi" w:hAnsiTheme="minorHAnsi"/>
        </w:rPr>
        <w:t>Yes – questions and answers are below:</w:t>
      </w:r>
    </w:p>
    <w:p w:rsidR="0051626E" w:rsidRDefault="0051626E" w:rsidP="00700D1B">
      <w:pPr>
        <w:pStyle w:val="NormalWeb"/>
        <w:numPr>
          <w:ilvl w:val="0"/>
          <w:numId w:val="3"/>
        </w:numPr>
        <w:rPr>
          <w:rFonts w:asciiTheme="minorHAnsi" w:hAnsiTheme="minorHAnsi"/>
        </w:rPr>
      </w:pPr>
      <w:r w:rsidRPr="0051626E">
        <w:rPr>
          <w:rFonts w:asciiTheme="minorHAnsi" w:hAnsiTheme="minorHAnsi"/>
        </w:rPr>
        <w:t xml:space="preserve">Are </w:t>
      </w:r>
      <w:r>
        <w:rPr>
          <w:rFonts w:asciiTheme="minorHAnsi" w:hAnsiTheme="minorHAnsi"/>
        </w:rPr>
        <w:t>current CCP students</w:t>
      </w:r>
      <w:r w:rsidRPr="0051626E">
        <w:rPr>
          <w:rFonts w:asciiTheme="minorHAnsi" w:hAnsiTheme="minorHAnsi"/>
        </w:rPr>
        <w:t xml:space="preserve"> eligible in the summer after their senior year?</w:t>
      </w:r>
      <w:r>
        <w:rPr>
          <w:rFonts w:asciiTheme="minorHAnsi" w:hAnsiTheme="minorHAnsi"/>
        </w:rPr>
        <w:t xml:space="preserve"> </w:t>
      </w:r>
      <w:r w:rsidRPr="0051626E">
        <w:rPr>
          <w:rFonts w:asciiTheme="minorHAnsi" w:hAnsiTheme="minorHAnsi"/>
          <w:color w:val="FF0000"/>
        </w:rPr>
        <w:t>No</w:t>
      </w:r>
    </w:p>
    <w:p w:rsidR="0051626E" w:rsidRPr="0051626E" w:rsidRDefault="0051626E" w:rsidP="00700D1B">
      <w:pPr>
        <w:pStyle w:val="NormalWeb"/>
        <w:numPr>
          <w:ilvl w:val="0"/>
          <w:numId w:val="3"/>
        </w:numPr>
        <w:rPr>
          <w:rFonts w:asciiTheme="minorHAnsi" w:hAnsiTheme="minorHAnsi"/>
        </w:rPr>
      </w:pPr>
      <w:r w:rsidRPr="0051626E">
        <w:rPr>
          <w:rFonts w:asciiTheme="minorHAnsi" w:hAnsiTheme="minorHAnsi"/>
        </w:rPr>
        <w:t xml:space="preserve">CCP students have to apply each year once they are admitted? </w:t>
      </w:r>
      <w:r w:rsidRPr="0051626E">
        <w:rPr>
          <w:rFonts w:asciiTheme="minorHAnsi" w:hAnsiTheme="minorHAnsi"/>
          <w:color w:val="FF0000"/>
        </w:rPr>
        <w:t>No</w:t>
      </w:r>
      <w:r w:rsidR="00DA217D">
        <w:rPr>
          <w:rFonts w:asciiTheme="minorHAnsi" w:hAnsiTheme="minorHAnsi"/>
          <w:color w:val="FF0000"/>
        </w:rPr>
        <w:t xml:space="preserve">, </w:t>
      </w:r>
      <w:r w:rsidRPr="0051626E">
        <w:rPr>
          <w:rFonts w:asciiTheme="minorHAnsi" w:hAnsiTheme="minorHAnsi"/>
          <w:color w:val="FF0000"/>
        </w:rPr>
        <w:t>if it's the same IHE and the IHE is satisfied with the student's academic progress.</w:t>
      </w:r>
    </w:p>
    <w:p w:rsidR="0051626E" w:rsidRPr="0051626E" w:rsidRDefault="0051626E" w:rsidP="00700D1B">
      <w:pPr>
        <w:pStyle w:val="NormalWeb"/>
        <w:numPr>
          <w:ilvl w:val="0"/>
          <w:numId w:val="3"/>
        </w:numPr>
        <w:rPr>
          <w:rFonts w:asciiTheme="minorHAnsi" w:hAnsiTheme="minorHAnsi"/>
          <w:color w:val="FF0000"/>
        </w:rPr>
      </w:pPr>
      <w:r w:rsidRPr="0051626E">
        <w:rPr>
          <w:rFonts w:asciiTheme="minorHAnsi" w:hAnsiTheme="minorHAnsi"/>
        </w:rPr>
        <w:t xml:space="preserve">When do the credit hours for summer term count towards the 30 max? This school year or next school year? </w:t>
      </w:r>
      <w:r w:rsidRPr="0051626E">
        <w:rPr>
          <w:rFonts w:asciiTheme="minorHAnsi" w:hAnsiTheme="minorHAnsi"/>
          <w:color w:val="FF0000"/>
        </w:rPr>
        <w:t>Rules for summer are being contemplated and will proceed through the regulatory process, which will likely be about February.</w:t>
      </w:r>
    </w:p>
    <w:p w:rsidR="0051626E" w:rsidRPr="00700D1B" w:rsidRDefault="0051626E" w:rsidP="00700D1B">
      <w:pPr>
        <w:pStyle w:val="NormalWeb"/>
        <w:numPr>
          <w:ilvl w:val="0"/>
          <w:numId w:val="3"/>
        </w:numPr>
        <w:rPr>
          <w:rFonts w:asciiTheme="minorHAnsi" w:hAnsiTheme="minorHAnsi"/>
        </w:rPr>
      </w:pPr>
      <w:r w:rsidRPr="0051626E">
        <w:rPr>
          <w:rFonts w:asciiTheme="minorHAnsi" w:hAnsiTheme="minorHAnsi"/>
        </w:rPr>
        <w:t xml:space="preserve">What happens if a public school student goes over 30 hours? </w:t>
      </w:r>
      <w:r>
        <w:rPr>
          <w:rFonts w:asciiTheme="minorHAnsi" w:hAnsiTheme="minorHAnsi"/>
          <w:color w:val="FF0000"/>
        </w:rPr>
        <w:t xml:space="preserve">(1) </w:t>
      </w:r>
      <w:r w:rsidR="00DA217D">
        <w:rPr>
          <w:rFonts w:asciiTheme="minorHAnsi" w:hAnsiTheme="minorHAnsi"/>
          <w:color w:val="FF0000"/>
        </w:rPr>
        <w:t>It</w:t>
      </w:r>
      <w:r>
        <w:rPr>
          <w:rFonts w:asciiTheme="minorHAnsi" w:hAnsiTheme="minorHAnsi"/>
          <w:color w:val="FF0000"/>
        </w:rPr>
        <w:t xml:space="preserve"> is the secondary school’s obligation to track</w:t>
      </w:r>
      <w:r w:rsidR="00DA217D">
        <w:rPr>
          <w:rFonts w:asciiTheme="minorHAnsi" w:hAnsiTheme="minorHAnsi"/>
          <w:color w:val="FF0000"/>
        </w:rPr>
        <w:t xml:space="preserve"> their student’s hours</w:t>
      </w:r>
      <w:r>
        <w:rPr>
          <w:rFonts w:asciiTheme="minorHAnsi" w:hAnsiTheme="minorHAnsi"/>
          <w:color w:val="FF0000"/>
        </w:rPr>
        <w:t xml:space="preserve">. If the secondary school misses the overage or </w:t>
      </w:r>
      <w:r w:rsidRPr="0051626E">
        <w:rPr>
          <w:rFonts w:asciiTheme="minorHAnsi" w:hAnsiTheme="minorHAnsi"/>
          <w:color w:val="FF0000"/>
        </w:rPr>
        <w:t xml:space="preserve">was negligent if </w:t>
      </w:r>
      <w:r>
        <w:rPr>
          <w:rFonts w:asciiTheme="minorHAnsi" w:hAnsiTheme="minorHAnsi"/>
          <w:color w:val="FF0000"/>
        </w:rPr>
        <w:t xml:space="preserve">the overage was </w:t>
      </w:r>
      <w:r w:rsidRPr="0051626E">
        <w:rPr>
          <w:rFonts w:asciiTheme="minorHAnsi" w:hAnsiTheme="minorHAnsi"/>
          <w:color w:val="FF0000"/>
        </w:rPr>
        <w:t>not caught, d</w:t>
      </w:r>
      <w:r w:rsidRPr="0051626E">
        <w:rPr>
          <w:rFonts w:asciiTheme="minorHAnsi" w:hAnsiTheme="minorHAnsi"/>
          <w:color w:val="FF0000"/>
        </w:rPr>
        <w:t>i</w:t>
      </w:r>
      <w:r w:rsidRPr="0051626E">
        <w:rPr>
          <w:rFonts w:asciiTheme="minorHAnsi" w:hAnsiTheme="minorHAnsi"/>
          <w:color w:val="FF0000"/>
        </w:rPr>
        <w:t xml:space="preserve">strict will pay for the </w:t>
      </w:r>
      <w:r>
        <w:rPr>
          <w:rFonts w:asciiTheme="minorHAnsi" w:hAnsiTheme="minorHAnsi"/>
          <w:color w:val="FF0000"/>
        </w:rPr>
        <w:t>extra hours</w:t>
      </w:r>
      <w:r w:rsidRPr="0051626E">
        <w:rPr>
          <w:rFonts w:asciiTheme="minorHAnsi" w:hAnsiTheme="minorHAnsi"/>
          <w:color w:val="FF0000"/>
        </w:rPr>
        <w:t xml:space="preserve">. </w:t>
      </w:r>
      <w:r>
        <w:rPr>
          <w:rFonts w:asciiTheme="minorHAnsi" w:hAnsiTheme="minorHAnsi"/>
          <w:color w:val="FF0000"/>
        </w:rPr>
        <w:t xml:space="preserve">(2) </w:t>
      </w:r>
      <w:r w:rsidRPr="0051626E">
        <w:rPr>
          <w:rFonts w:asciiTheme="minorHAnsi" w:hAnsiTheme="minorHAnsi"/>
          <w:color w:val="FF0000"/>
        </w:rPr>
        <w:t xml:space="preserve">If student </w:t>
      </w:r>
      <w:r>
        <w:rPr>
          <w:rFonts w:asciiTheme="minorHAnsi" w:hAnsiTheme="minorHAnsi"/>
          <w:color w:val="FF0000"/>
        </w:rPr>
        <w:t>exceeds intentionally, this is a situation of self-</w:t>
      </w:r>
      <w:r w:rsidRPr="0051626E">
        <w:rPr>
          <w:rFonts w:asciiTheme="minorHAnsi" w:hAnsiTheme="minorHAnsi"/>
          <w:color w:val="FF0000"/>
        </w:rPr>
        <w:t>pay</w:t>
      </w:r>
      <w:r>
        <w:rPr>
          <w:rFonts w:asciiTheme="minorHAnsi" w:hAnsiTheme="minorHAnsi"/>
          <w:color w:val="FF0000"/>
        </w:rPr>
        <w:t xml:space="preserve"> -</w:t>
      </w:r>
      <w:r w:rsidRPr="0051626E">
        <w:rPr>
          <w:rFonts w:asciiTheme="minorHAnsi" w:hAnsiTheme="minorHAnsi"/>
          <w:color w:val="FF0000"/>
        </w:rPr>
        <w:t xml:space="preserve"> regular tuition.</w:t>
      </w:r>
    </w:p>
    <w:p w:rsidR="00700D1B" w:rsidRPr="00700D1B" w:rsidRDefault="0051626E" w:rsidP="00700D1B">
      <w:pPr>
        <w:pStyle w:val="NormalWeb"/>
        <w:numPr>
          <w:ilvl w:val="0"/>
          <w:numId w:val="3"/>
        </w:numPr>
        <w:rPr>
          <w:rFonts w:asciiTheme="minorHAnsi" w:hAnsiTheme="minorHAnsi"/>
          <w:color w:val="FF0000"/>
        </w:rPr>
      </w:pPr>
      <w:r w:rsidRPr="0051626E">
        <w:rPr>
          <w:rFonts w:asciiTheme="minorHAnsi" w:hAnsiTheme="minorHAnsi"/>
        </w:rPr>
        <w:t xml:space="preserve">Is there an allowable pathway for an associate’s degree with 72 hours so these students could exceed the 30 hours per year? </w:t>
      </w:r>
      <w:r w:rsidRPr="00700D1B">
        <w:rPr>
          <w:rFonts w:asciiTheme="minorHAnsi" w:hAnsiTheme="minorHAnsi"/>
          <w:color w:val="FF0000"/>
        </w:rPr>
        <w:t xml:space="preserve">No. </w:t>
      </w:r>
      <w:r w:rsidR="00700D1B" w:rsidRPr="00700D1B">
        <w:rPr>
          <w:rFonts w:asciiTheme="minorHAnsi" w:hAnsiTheme="minorHAnsi"/>
          <w:color w:val="FF0000"/>
        </w:rPr>
        <w:t xml:space="preserve">30 semester credit hours is the maximum college credits per student, per year in the CCP Program. The pathway for a 72 hour program would have to begin prior to the junior year of high school. A student may satisfy more than 60 total hours by starting earlier than their junior year of high school. </w:t>
      </w:r>
    </w:p>
    <w:p w:rsidR="0051626E" w:rsidRPr="0051626E" w:rsidRDefault="0051626E" w:rsidP="00700D1B">
      <w:pPr>
        <w:pStyle w:val="NormalWeb"/>
        <w:numPr>
          <w:ilvl w:val="0"/>
          <w:numId w:val="3"/>
        </w:numPr>
        <w:rPr>
          <w:rFonts w:asciiTheme="minorHAnsi" w:hAnsiTheme="minorHAnsi"/>
        </w:rPr>
      </w:pPr>
      <w:r w:rsidRPr="00700D1B">
        <w:rPr>
          <w:rFonts w:asciiTheme="minorHAnsi" w:hAnsiTheme="minorHAnsi"/>
          <w:color w:val="FF0000"/>
        </w:rPr>
        <w:t xml:space="preserve">Is ODE doing a check for the home school/private school </w:t>
      </w:r>
      <w:r w:rsidRPr="0051626E">
        <w:rPr>
          <w:rFonts w:asciiTheme="minorHAnsi" w:hAnsiTheme="minorHAnsi"/>
        </w:rPr>
        <w:t>students to make sure the total hours submitted does not exceed their approved count?</w:t>
      </w:r>
      <w:r w:rsidRPr="00700D1B">
        <w:rPr>
          <w:rFonts w:asciiTheme="minorHAnsi" w:hAnsiTheme="minorHAnsi"/>
          <w:color w:val="FF0000"/>
        </w:rPr>
        <w:t xml:space="preserve"> The ODE will pay the maximum hours for which each student was approved.</w:t>
      </w:r>
    </w:p>
    <w:p w:rsidR="002A39A6" w:rsidRDefault="002A39A6" w:rsidP="002A39A6">
      <w:pPr>
        <w:pStyle w:val="NormalWeb"/>
        <w:rPr>
          <w:rFonts w:asciiTheme="minorHAnsi" w:hAnsiTheme="minorHAnsi"/>
        </w:rPr>
      </w:pPr>
      <w:r w:rsidRPr="0051626E">
        <w:rPr>
          <w:rFonts w:asciiTheme="minorHAnsi" w:hAnsiTheme="minorHAnsi"/>
        </w:rPr>
        <w:t xml:space="preserve">2. New list </w:t>
      </w:r>
      <w:proofErr w:type="spellStart"/>
      <w:r w:rsidRPr="0051626E">
        <w:rPr>
          <w:rFonts w:asciiTheme="minorHAnsi" w:hAnsiTheme="minorHAnsi"/>
        </w:rPr>
        <w:t>serv</w:t>
      </w:r>
      <w:proofErr w:type="spellEnd"/>
      <w:r w:rsidRPr="0051626E">
        <w:rPr>
          <w:rFonts w:asciiTheme="minorHAnsi" w:hAnsiTheme="minorHAnsi"/>
        </w:rPr>
        <w:t xml:space="preserve"> - use this email address to send notes to the HEI liaisons group.</w:t>
      </w:r>
      <w:r w:rsidR="00DA217D">
        <w:rPr>
          <w:rFonts w:asciiTheme="minorHAnsi" w:hAnsiTheme="minorHAnsi"/>
        </w:rPr>
        <w:t xml:space="preserve"> Sign up here:</w:t>
      </w:r>
    </w:p>
    <w:p w:rsidR="00DA217D" w:rsidRPr="0051626E" w:rsidRDefault="00DA217D" w:rsidP="002A39A6">
      <w:pPr>
        <w:pStyle w:val="NormalWeb"/>
        <w:rPr>
          <w:rFonts w:asciiTheme="minorHAnsi" w:hAnsiTheme="minorHAnsi"/>
        </w:rPr>
      </w:pPr>
      <w:hyperlink r:id="rId7" w:history="1">
        <w:r w:rsidRPr="000A3EDF">
          <w:rPr>
            <w:rStyle w:val="Hyperlink"/>
            <w:rFonts w:asciiTheme="minorHAnsi" w:hAnsiTheme="minorHAnsi"/>
          </w:rPr>
          <w:t>https://www.ohiohighered.org/hei</w:t>
        </w:r>
      </w:hyperlink>
      <w:r>
        <w:rPr>
          <w:rFonts w:asciiTheme="minorHAnsi" w:hAnsiTheme="minorHAnsi"/>
        </w:rPr>
        <w:t xml:space="preserve"> </w:t>
      </w:r>
    </w:p>
    <w:p w:rsidR="002A39A6" w:rsidRPr="0051626E" w:rsidRDefault="002A39A6" w:rsidP="002A39A6">
      <w:pPr>
        <w:pStyle w:val="NormalWeb"/>
        <w:rPr>
          <w:rFonts w:asciiTheme="minorHAnsi" w:hAnsiTheme="minorHAnsi"/>
        </w:rPr>
      </w:pPr>
      <w:r w:rsidRPr="0051626E">
        <w:rPr>
          <w:rFonts w:asciiTheme="minorHAnsi" w:hAnsiTheme="minorHAnsi"/>
        </w:rPr>
        <w:t>3. Reports based on the budget bill - low enrollment, affordability and efficiency, 5% cost savings. We will talk through the dates and general expectations for each.</w:t>
      </w:r>
    </w:p>
    <w:p w:rsidR="002A39A6" w:rsidRPr="0051626E" w:rsidRDefault="002A39A6" w:rsidP="002A39A6">
      <w:pPr>
        <w:autoSpaceDE w:val="0"/>
        <w:autoSpaceDN w:val="0"/>
        <w:rPr>
          <w:rFonts w:cs="Arial"/>
          <w:bCs/>
          <w:sz w:val="24"/>
          <w:szCs w:val="24"/>
          <w:u w:val="single"/>
        </w:rPr>
      </w:pPr>
      <w:r w:rsidRPr="0051626E">
        <w:rPr>
          <w:rFonts w:cs="Arial"/>
          <w:bCs/>
          <w:sz w:val="24"/>
          <w:szCs w:val="24"/>
          <w:u w:val="single"/>
        </w:rPr>
        <w:t>Reducing College Costs (ORC 3345.39, Sec. 369.600)</w:t>
      </w:r>
    </w:p>
    <w:p w:rsidR="002A39A6" w:rsidRPr="00D045D7" w:rsidRDefault="002A39A6" w:rsidP="00D045D7">
      <w:pPr>
        <w:pStyle w:val="NormalWeb"/>
        <w:numPr>
          <w:ilvl w:val="0"/>
          <w:numId w:val="3"/>
        </w:numPr>
        <w:rPr>
          <w:rFonts w:asciiTheme="minorHAnsi" w:hAnsiTheme="minorHAnsi"/>
        </w:rPr>
      </w:pPr>
      <w:r w:rsidRPr="00D045D7">
        <w:rPr>
          <w:rFonts w:asciiTheme="minorHAnsi" w:hAnsiTheme="minorHAnsi"/>
        </w:rPr>
        <w:t>Requires the board of trustees of each state institution of higher education to develop and implement a plan to provide all in-state, undergraduate students the opportunity to reduce the student cost of earning a degree by 5%.</w:t>
      </w:r>
    </w:p>
    <w:p w:rsidR="002A39A6" w:rsidRPr="00D045D7" w:rsidRDefault="002A39A6" w:rsidP="00D045D7">
      <w:pPr>
        <w:pStyle w:val="NormalWeb"/>
        <w:numPr>
          <w:ilvl w:val="0"/>
          <w:numId w:val="3"/>
        </w:numPr>
        <w:rPr>
          <w:rFonts w:asciiTheme="minorHAnsi" w:hAnsiTheme="minorHAnsi"/>
        </w:rPr>
      </w:pPr>
      <w:r w:rsidRPr="00D045D7">
        <w:rPr>
          <w:rFonts w:asciiTheme="minorHAnsi" w:hAnsiTheme="minorHAnsi"/>
        </w:rPr>
        <w:t xml:space="preserve">An institution’s plan must be submitted to the Chancellor not later than October 15, 2015. </w:t>
      </w:r>
    </w:p>
    <w:p w:rsidR="002A39A6" w:rsidRPr="0051626E" w:rsidRDefault="002A39A6" w:rsidP="002A39A6">
      <w:pPr>
        <w:pStyle w:val="ListParagraph"/>
        <w:autoSpaceDE w:val="0"/>
        <w:autoSpaceDN w:val="0"/>
        <w:ind w:hanging="360"/>
        <w:rPr>
          <w:rFonts w:asciiTheme="minorHAnsi" w:hAnsiTheme="minorHAnsi" w:cs="Arial"/>
          <w:sz w:val="24"/>
          <w:szCs w:val="24"/>
        </w:rPr>
      </w:pPr>
    </w:p>
    <w:p w:rsidR="002A39A6" w:rsidRPr="0051626E" w:rsidRDefault="002A39A6" w:rsidP="002A39A6">
      <w:pPr>
        <w:autoSpaceDE w:val="0"/>
        <w:autoSpaceDN w:val="0"/>
        <w:rPr>
          <w:rFonts w:cs="Arial"/>
          <w:bCs/>
          <w:sz w:val="24"/>
          <w:szCs w:val="24"/>
          <w:u w:val="single"/>
        </w:rPr>
      </w:pPr>
      <w:r w:rsidRPr="0051626E">
        <w:rPr>
          <w:rFonts w:cs="Arial"/>
          <w:bCs/>
          <w:sz w:val="24"/>
          <w:szCs w:val="24"/>
          <w:u w:val="single"/>
        </w:rPr>
        <w:t>Auxiliary Fees (ORC 3345.39)</w:t>
      </w:r>
    </w:p>
    <w:p w:rsidR="002A39A6" w:rsidRPr="0051626E" w:rsidRDefault="00DA217D" w:rsidP="002A39A6">
      <w:pPr>
        <w:pStyle w:val="ListParagraph"/>
        <w:autoSpaceDE w:val="0"/>
        <w:autoSpaceDN w:val="0"/>
        <w:ind w:hanging="360"/>
        <w:rPr>
          <w:rFonts w:asciiTheme="minorHAnsi" w:hAnsiTheme="minorHAnsi" w:cs="Arial"/>
          <w:sz w:val="24"/>
          <w:szCs w:val="24"/>
        </w:rPr>
      </w:pPr>
      <w:r>
        <w:rPr>
          <w:rFonts w:asciiTheme="minorHAnsi" w:hAnsiTheme="minorHAnsi" w:cs="Arial"/>
          <w:sz w:val="24"/>
          <w:szCs w:val="24"/>
        </w:rPr>
        <w:lastRenderedPageBreak/>
        <w:t>·     </w:t>
      </w:r>
      <w:bookmarkStart w:id="0" w:name="_GoBack"/>
      <w:bookmarkEnd w:id="0"/>
      <w:r w:rsidR="002A39A6" w:rsidRPr="00D045D7">
        <w:rPr>
          <w:rFonts w:asciiTheme="minorHAnsi" w:hAnsiTheme="minorHAnsi"/>
          <w:sz w:val="24"/>
          <w:szCs w:val="24"/>
        </w:rPr>
        <w:t xml:space="preserve">Beginning with the fall semester, or quarter equivalent, of the 2015-2016 academic </w:t>
      </w:r>
      <w:proofErr w:type="gramStart"/>
      <w:r w:rsidR="002A39A6" w:rsidRPr="00D045D7">
        <w:rPr>
          <w:rFonts w:asciiTheme="minorHAnsi" w:hAnsiTheme="minorHAnsi"/>
          <w:sz w:val="24"/>
          <w:szCs w:val="24"/>
        </w:rPr>
        <w:t>year</w:t>
      </w:r>
      <w:proofErr w:type="gramEnd"/>
      <w:r w:rsidR="002A39A6" w:rsidRPr="00D045D7">
        <w:rPr>
          <w:rFonts w:asciiTheme="minorHAnsi" w:hAnsiTheme="minorHAnsi"/>
          <w:sz w:val="24"/>
          <w:szCs w:val="24"/>
        </w:rPr>
        <w:t>, requires state institutions of higher education to annually report to the Ohio Department of Higher Education (DHE) any increase in or additional auxiliary fees charged by the institution and the justification for the increase or addition.</w:t>
      </w:r>
      <w:r w:rsidRPr="00D045D7">
        <w:rPr>
          <w:rFonts w:asciiTheme="minorHAnsi" w:hAnsiTheme="minorHAnsi"/>
          <w:sz w:val="24"/>
          <w:szCs w:val="24"/>
        </w:rPr>
        <w:t xml:space="preserve"> This was collected during the tuition and fees survey.</w:t>
      </w:r>
    </w:p>
    <w:p w:rsidR="002A39A6" w:rsidRPr="0051626E" w:rsidRDefault="002A39A6" w:rsidP="002A39A6">
      <w:pPr>
        <w:pStyle w:val="ListParagraph"/>
        <w:autoSpaceDE w:val="0"/>
        <w:autoSpaceDN w:val="0"/>
        <w:ind w:hanging="360"/>
        <w:rPr>
          <w:rFonts w:asciiTheme="minorHAnsi" w:hAnsiTheme="minorHAnsi" w:cs="Arial"/>
          <w:sz w:val="24"/>
          <w:szCs w:val="24"/>
        </w:rPr>
      </w:pPr>
    </w:p>
    <w:p w:rsidR="002A39A6" w:rsidRPr="0051626E" w:rsidRDefault="002A39A6" w:rsidP="002A39A6">
      <w:pPr>
        <w:autoSpaceDE w:val="0"/>
        <w:autoSpaceDN w:val="0"/>
        <w:rPr>
          <w:rFonts w:cs="Arial"/>
          <w:bCs/>
          <w:sz w:val="24"/>
          <w:szCs w:val="24"/>
          <w:u w:val="single"/>
        </w:rPr>
      </w:pPr>
      <w:r w:rsidRPr="0051626E">
        <w:rPr>
          <w:rFonts w:cs="Arial"/>
          <w:bCs/>
          <w:sz w:val="24"/>
          <w:szCs w:val="24"/>
          <w:u w:val="single"/>
        </w:rPr>
        <w:t>Course and Program Evaluations (ORC 3345.35)</w:t>
      </w:r>
    </w:p>
    <w:p w:rsidR="002A39A6" w:rsidRPr="0051626E" w:rsidRDefault="002A39A6" w:rsidP="002A39A6">
      <w:pPr>
        <w:pStyle w:val="ListParagraph"/>
        <w:autoSpaceDE w:val="0"/>
        <w:autoSpaceDN w:val="0"/>
        <w:ind w:hanging="360"/>
        <w:rPr>
          <w:rFonts w:asciiTheme="minorHAnsi" w:hAnsiTheme="minorHAnsi" w:cs="Arial"/>
          <w:sz w:val="24"/>
          <w:szCs w:val="24"/>
        </w:rPr>
      </w:pPr>
      <w:r w:rsidRPr="0051626E">
        <w:rPr>
          <w:rFonts w:asciiTheme="minorHAnsi" w:hAnsiTheme="minorHAnsi" w:cs="Arial"/>
          <w:sz w:val="24"/>
          <w:szCs w:val="24"/>
        </w:rPr>
        <w:t xml:space="preserve">·      Requires the board of trustees of each state institution of higher education, </w:t>
      </w:r>
      <w:r w:rsidRPr="0051626E">
        <w:rPr>
          <w:rFonts w:asciiTheme="minorHAnsi" w:hAnsiTheme="minorHAnsi" w:cs="Arial"/>
          <w:sz w:val="24"/>
          <w:szCs w:val="24"/>
          <w:highlight w:val="yellow"/>
        </w:rPr>
        <w:t>not later than January 1, 2016</w:t>
      </w:r>
      <w:r w:rsidRPr="0051626E">
        <w:rPr>
          <w:rFonts w:asciiTheme="minorHAnsi" w:hAnsiTheme="minorHAnsi" w:cs="Arial"/>
          <w:sz w:val="24"/>
          <w:szCs w:val="24"/>
        </w:rPr>
        <w:t xml:space="preserve">, and every five years thereafter by January 1, to evaluate all courses and programs the institution offers based on enrollment and student performance. </w:t>
      </w:r>
    </w:p>
    <w:p w:rsidR="002A39A6" w:rsidRPr="0051626E" w:rsidRDefault="002A39A6" w:rsidP="002A39A6">
      <w:pPr>
        <w:pStyle w:val="ListParagraph"/>
        <w:autoSpaceDE w:val="0"/>
        <w:autoSpaceDN w:val="0"/>
        <w:ind w:hanging="360"/>
        <w:rPr>
          <w:rFonts w:asciiTheme="minorHAnsi" w:hAnsiTheme="minorHAnsi" w:cs="Arial"/>
          <w:sz w:val="24"/>
          <w:szCs w:val="24"/>
        </w:rPr>
      </w:pPr>
      <w:r w:rsidRPr="0051626E">
        <w:rPr>
          <w:rFonts w:asciiTheme="minorHAnsi" w:hAnsiTheme="minorHAnsi" w:cs="Arial"/>
          <w:sz w:val="24"/>
          <w:szCs w:val="24"/>
        </w:rPr>
        <w:t xml:space="preserve">·      For courses with low enrollment, requires the board of trustees to evaluate the benefits of collaboration with other institutions of higher education, based on geographic region, to deliver the course. </w:t>
      </w:r>
    </w:p>
    <w:p w:rsidR="002A39A6" w:rsidRPr="0051626E" w:rsidRDefault="002A39A6" w:rsidP="002A39A6">
      <w:pPr>
        <w:pStyle w:val="ListParagraph"/>
        <w:autoSpaceDE w:val="0"/>
        <w:autoSpaceDN w:val="0"/>
        <w:ind w:hanging="360"/>
        <w:rPr>
          <w:rFonts w:asciiTheme="minorHAnsi" w:hAnsiTheme="minorHAnsi" w:cs="Arial"/>
          <w:sz w:val="24"/>
          <w:szCs w:val="24"/>
        </w:rPr>
      </w:pPr>
      <w:r w:rsidRPr="0051626E">
        <w:rPr>
          <w:rFonts w:asciiTheme="minorHAnsi" w:hAnsiTheme="minorHAnsi" w:cs="Arial"/>
          <w:sz w:val="24"/>
          <w:szCs w:val="24"/>
        </w:rPr>
        <w:t xml:space="preserve">·      An institution’s board of trustees </w:t>
      </w:r>
      <w:r w:rsidRPr="0051626E">
        <w:rPr>
          <w:rFonts w:asciiTheme="minorHAnsi" w:hAnsiTheme="minorHAnsi" w:cs="Arial"/>
          <w:i/>
          <w:iCs/>
          <w:sz w:val="24"/>
          <w:szCs w:val="24"/>
        </w:rPr>
        <w:t>shall submit its findings, to the chancellor, within 30 days of completing the course and program evaluations</w:t>
      </w:r>
    </w:p>
    <w:p w:rsidR="00DA217D" w:rsidRDefault="00DA217D" w:rsidP="002A39A6">
      <w:pPr>
        <w:pStyle w:val="ListParagraph"/>
        <w:autoSpaceDE w:val="0"/>
        <w:autoSpaceDN w:val="0"/>
        <w:ind w:hanging="360"/>
        <w:rPr>
          <w:rFonts w:asciiTheme="minorHAnsi" w:hAnsiTheme="minorHAnsi" w:cs="Arial"/>
          <w:color w:val="FF0000"/>
          <w:sz w:val="24"/>
          <w:szCs w:val="24"/>
        </w:rPr>
      </w:pPr>
    </w:p>
    <w:p w:rsidR="002A39A6" w:rsidRPr="00DA217D" w:rsidRDefault="00DA217D" w:rsidP="002A39A6">
      <w:pPr>
        <w:pStyle w:val="ListParagraph"/>
        <w:autoSpaceDE w:val="0"/>
        <w:autoSpaceDN w:val="0"/>
        <w:ind w:hanging="360"/>
        <w:rPr>
          <w:rFonts w:asciiTheme="minorHAnsi" w:hAnsiTheme="minorHAnsi" w:cs="Arial"/>
          <w:color w:val="FF0000"/>
          <w:sz w:val="24"/>
          <w:szCs w:val="24"/>
        </w:rPr>
      </w:pPr>
      <w:r>
        <w:rPr>
          <w:rFonts w:asciiTheme="minorHAnsi" w:hAnsiTheme="minorHAnsi" w:cs="Arial"/>
          <w:color w:val="FF0000"/>
          <w:sz w:val="24"/>
          <w:szCs w:val="24"/>
        </w:rPr>
        <w:t xml:space="preserve">More details on this report/requirements to come. </w:t>
      </w:r>
    </w:p>
    <w:p w:rsidR="00DA217D" w:rsidRPr="0051626E" w:rsidRDefault="00DA217D" w:rsidP="002A39A6">
      <w:pPr>
        <w:pStyle w:val="ListParagraph"/>
        <w:autoSpaceDE w:val="0"/>
        <w:autoSpaceDN w:val="0"/>
        <w:ind w:hanging="360"/>
        <w:rPr>
          <w:rFonts w:asciiTheme="minorHAnsi" w:hAnsiTheme="minorHAnsi" w:cs="Arial"/>
          <w:sz w:val="24"/>
          <w:szCs w:val="24"/>
        </w:rPr>
      </w:pPr>
    </w:p>
    <w:p w:rsidR="002A39A6" w:rsidRPr="0051626E" w:rsidRDefault="002A39A6" w:rsidP="002A39A6">
      <w:pPr>
        <w:autoSpaceDE w:val="0"/>
        <w:autoSpaceDN w:val="0"/>
        <w:rPr>
          <w:rFonts w:cs="Arial"/>
          <w:bCs/>
          <w:sz w:val="24"/>
          <w:szCs w:val="24"/>
          <w:u w:val="single"/>
        </w:rPr>
      </w:pPr>
      <w:r w:rsidRPr="0051626E">
        <w:rPr>
          <w:rFonts w:cs="Arial"/>
          <w:bCs/>
          <w:sz w:val="24"/>
          <w:szCs w:val="24"/>
          <w:u w:val="single"/>
        </w:rPr>
        <w:t>Task Force on Affordability and Efficiency (Sec. 369.560, 369.590)</w:t>
      </w:r>
    </w:p>
    <w:p w:rsidR="002A39A6" w:rsidRDefault="002A39A6" w:rsidP="002A39A6">
      <w:pPr>
        <w:pStyle w:val="ListParagraph"/>
        <w:autoSpaceDE w:val="0"/>
        <w:autoSpaceDN w:val="0"/>
        <w:ind w:hanging="360"/>
        <w:rPr>
          <w:rFonts w:asciiTheme="minorHAnsi" w:hAnsiTheme="minorHAnsi" w:cs="Arial"/>
          <w:sz w:val="24"/>
          <w:szCs w:val="24"/>
        </w:rPr>
      </w:pPr>
      <w:r w:rsidRPr="0051626E">
        <w:rPr>
          <w:rFonts w:asciiTheme="minorHAnsi" w:hAnsiTheme="minorHAnsi" w:cs="Arial"/>
          <w:sz w:val="24"/>
          <w:szCs w:val="24"/>
        </w:rPr>
        <w:t xml:space="preserve">·      Requires all boards of trustees for state institutions of higher education, upon submission of the Ohio Task Force on Affordability and Efficiency in Higher Education Report established by Governor's order, to complete, </w:t>
      </w:r>
      <w:r w:rsidRPr="0051626E">
        <w:rPr>
          <w:rFonts w:asciiTheme="minorHAnsi" w:hAnsiTheme="minorHAnsi" w:cs="Arial"/>
          <w:sz w:val="24"/>
          <w:szCs w:val="24"/>
          <w:highlight w:val="yellow"/>
        </w:rPr>
        <w:t>by July 1, 2016</w:t>
      </w:r>
      <w:r w:rsidRPr="0051626E">
        <w:rPr>
          <w:rFonts w:asciiTheme="minorHAnsi" w:hAnsiTheme="minorHAnsi" w:cs="Arial"/>
          <w:sz w:val="24"/>
          <w:szCs w:val="24"/>
        </w:rPr>
        <w:t xml:space="preserve">, an efficiency review based on the report and recommendations of the task force, and provide a report to the Chancellor within 30 days of the completion of the efficiency review that includes how each institution will implement the recommendations and any other cost savings measures. </w:t>
      </w:r>
    </w:p>
    <w:p w:rsidR="00DA217D" w:rsidRDefault="00DA217D" w:rsidP="002A39A6">
      <w:pPr>
        <w:pStyle w:val="ListParagraph"/>
        <w:autoSpaceDE w:val="0"/>
        <w:autoSpaceDN w:val="0"/>
        <w:ind w:hanging="360"/>
        <w:rPr>
          <w:rFonts w:asciiTheme="minorHAnsi" w:hAnsiTheme="minorHAnsi" w:cs="Arial"/>
          <w:color w:val="FF0000"/>
          <w:sz w:val="24"/>
          <w:szCs w:val="24"/>
        </w:rPr>
      </w:pPr>
    </w:p>
    <w:p w:rsidR="00DA217D" w:rsidRDefault="00DA217D" w:rsidP="002A39A6">
      <w:pPr>
        <w:pStyle w:val="ListParagraph"/>
        <w:autoSpaceDE w:val="0"/>
        <w:autoSpaceDN w:val="0"/>
        <w:ind w:hanging="360"/>
        <w:rPr>
          <w:rFonts w:asciiTheme="minorHAnsi" w:hAnsiTheme="minorHAnsi" w:cs="Arial"/>
          <w:color w:val="FF0000"/>
          <w:sz w:val="24"/>
          <w:szCs w:val="24"/>
        </w:rPr>
      </w:pPr>
      <w:r>
        <w:rPr>
          <w:rFonts w:asciiTheme="minorHAnsi" w:hAnsiTheme="minorHAnsi" w:cs="Arial"/>
          <w:color w:val="FF0000"/>
          <w:sz w:val="24"/>
          <w:szCs w:val="24"/>
        </w:rPr>
        <w:t xml:space="preserve">Task Force report was released and is available here: </w:t>
      </w:r>
      <w:hyperlink r:id="rId8" w:history="1">
        <w:r w:rsidRPr="000A3EDF">
          <w:rPr>
            <w:rStyle w:val="Hyperlink"/>
            <w:rFonts w:asciiTheme="minorHAnsi" w:hAnsiTheme="minorHAnsi" w:cs="Arial"/>
            <w:sz w:val="24"/>
            <w:szCs w:val="24"/>
          </w:rPr>
          <w:t>https://www.ohiohighered.org/affordability-efficiency/advisory-committee</w:t>
        </w:r>
      </w:hyperlink>
      <w:r>
        <w:rPr>
          <w:rFonts w:asciiTheme="minorHAnsi" w:hAnsiTheme="minorHAnsi" w:cs="Arial"/>
          <w:color w:val="FF0000"/>
          <w:sz w:val="24"/>
          <w:szCs w:val="24"/>
        </w:rPr>
        <w:t xml:space="preserve"> </w:t>
      </w:r>
    </w:p>
    <w:p w:rsidR="00DA217D" w:rsidRPr="00DA217D" w:rsidRDefault="00DA217D" w:rsidP="002A39A6">
      <w:pPr>
        <w:pStyle w:val="ListParagraph"/>
        <w:autoSpaceDE w:val="0"/>
        <w:autoSpaceDN w:val="0"/>
        <w:ind w:hanging="360"/>
        <w:rPr>
          <w:rFonts w:asciiTheme="minorHAnsi" w:hAnsiTheme="minorHAnsi" w:cs="Arial"/>
          <w:color w:val="FF0000"/>
          <w:sz w:val="24"/>
          <w:szCs w:val="24"/>
        </w:rPr>
      </w:pPr>
      <w:r>
        <w:rPr>
          <w:rFonts w:asciiTheme="minorHAnsi" w:hAnsiTheme="minorHAnsi" w:cs="Arial"/>
          <w:color w:val="FF0000"/>
          <w:sz w:val="24"/>
          <w:szCs w:val="24"/>
        </w:rPr>
        <w:t xml:space="preserve">DHE has to create an administrative productivity measure – details are still being worked out but this may require an additional data collection. </w:t>
      </w:r>
    </w:p>
    <w:p w:rsidR="002A39A6" w:rsidRDefault="002A39A6" w:rsidP="002A39A6">
      <w:pPr>
        <w:pStyle w:val="NormalWeb"/>
        <w:rPr>
          <w:rFonts w:asciiTheme="minorHAnsi" w:hAnsiTheme="minorHAnsi"/>
        </w:rPr>
      </w:pPr>
      <w:r w:rsidRPr="0051626E">
        <w:rPr>
          <w:rFonts w:asciiTheme="minorHAnsi" w:hAnsiTheme="minorHAnsi"/>
        </w:rPr>
        <w:t xml:space="preserve">4. SSI Timeline – True Up for FY16 – November/December; Projections for FY17 – December/January; Preliminary FY17 – April/May </w:t>
      </w:r>
    </w:p>
    <w:p w:rsidR="00DA217D" w:rsidRPr="00DA217D" w:rsidRDefault="00DA217D" w:rsidP="002A39A6">
      <w:pPr>
        <w:pStyle w:val="NormalWeb"/>
        <w:rPr>
          <w:rFonts w:asciiTheme="minorHAnsi" w:hAnsiTheme="minorHAnsi"/>
          <w:color w:val="FF0000"/>
        </w:rPr>
      </w:pPr>
      <w:r>
        <w:rPr>
          <w:rFonts w:asciiTheme="minorHAnsi" w:hAnsiTheme="minorHAnsi"/>
          <w:color w:val="FF0000"/>
        </w:rPr>
        <w:t>There was interest in getting the SSI steering committee back together before the true-up calculations are complete. I think it’s a good idea and will check into this.</w:t>
      </w:r>
    </w:p>
    <w:p w:rsidR="002A39A6" w:rsidRPr="0051626E" w:rsidRDefault="002A39A6" w:rsidP="002A39A6">
      <w:pPr>
        <w:pStyle w:val="NormalWeb"/>
        <w:rPr>
          <w:rFonts w:asciiTheme="minorHAnsi" w:hAnsiTheme="minorHAnsi"/>
        </w:rPr>
      </w:pPr>
      <w:r w:rsidRPr="0051626E">
        <w:rPr>
          <w:rFonts w:asciiTheme="minorHAnsi" w:hAnsiTheme="minorHAnsi"/>
        </w:rPr>
        <w:t>5. Other items?</w:t>
      </w:r>
    </w:p>
    <w:p w:rsidR="004C68D9" w:rsidRPr="0051626E" w:rsidRDefault="004C68D9">
      <w:pPr>
        <w:rPr>
          <w:sz w:val="24"/>
          <w:szCs w:val="24"/>
        </w:rPr>
      </w:pPr>
    </w:p>
    <w:sectPr w:rsidR="004C68D9" w:rsidRPr="0051626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416F4"/>
    <w:multiLevelType w:val="hybridMultilevel"/>
    <w:tmpl w:val="A99C5A5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F6B1BC3"/>
    <w:multiLevelType w:val="hybridMultilevel"/>
    <w:tmpl w:val="94B45976"/>
    <w:lvl w:ilvl="0" w:tplc="B344D390">
      <w:start w:val="6"/>
      <w:numFmt w:val="bullet"/>
      <w:lvlText w:val="·"/>
      <w:lvlJc w:val="left"/>
      <w:pPr>
        <w:ind w:left="1080" w:hanging="360"/>
      </w:pPr>
      <w:rPr>
        <w:rFonts w:ascii="Calibri" w:eastAsiaTheme="minorHAnsi" w:hAnsi="Calibri"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1D0A3FA2"/>
    <w:multiLevelType w:val="hybridMultilevel"/>
    <w:tmpl w:val="C624E9C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6B8520DA"/>
    <w:multiLevelType w:val="hybridMultilevel"/>
    <w:tmpl w:val="DE6A1A6C"/>
    <w:lvl w:ilvl="0" w:tplc="B344D390">
      <w:start w:val="6"/>
      <w:numFmt w:val="bullet"/>
      <w:lvlText w:val="·"/>
      <w:lvlJc w:val="left"/>
      <w:pPr>
        <w:ind w:left="720" w:hanging="360"/>
      </w:pPr>
      <w:rPr>
        <w:rFonts w:ascii="Calibri" w:eastAsiaTheme="minorHAnsi"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D663B33"/>
    <w:multiLevelType w:val="hybridMultilevel"/>
    <w:tmpl w:val="A880DF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E641F6A"/>
    <w:multiLevelType w:val="hybridMultilevel"/>
    <w:tmpl w:val="BD96B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0"/>
  </w:num>
  <w:num w:numId="4">
    <w:abstractNumId w:val="2"/>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A39A6"/>
    <w:rsid w:val="002A39A6"/>
    <w:rsid w:val="004C68D9"/>
    <w:rsid w:val="0051626E"/>
    <w:rsid w:val="00700D1B"/>
    <w:rsid w:val="00A4695F"/>
    <w:rsid w:val="00D045D7"/>
    <w:rsid w:val="00DA21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A39A6"/>
    <w:pPr>
      <w:spacing w:before="100" w:beforeAutospacing="1" w:after="100" w:afterAutospacing="1" w:line="240" w:lineRule="auto"/>
    </w:pPr>
    <w:rPr>
      <w:rFonts w:ascii="Times New Roman" w:hAnsi="Times New Roman" w:cs="Times New Roman"/>
      <w:sz w:val="24"/>
      <w:szCs w:val="24"/>
    </w:rPr>
  </w:style>
  <w:style w:type="paragraph" w:styleId="ListParagraph">
    <w:name w:val="List Paragraph"/>
    <w:basedOn w:val="Normal"/>
    <w:uiPriority w:val="34"/>
    <w:qFormat/>
    <w:rsid w:val="002A39A6"/>
    <w:pPr>
      <w:spacing w:after="0" w:line="240" w:lineRule="auto"/>
      <w:ind w:left="720"/>
    </w:pPr>
    <w:rPr>
      <w:rFonts w:ascii="Calibri" w:hAnsi="Calibri" w:cs="Times New Roman"/>
    </w:rPr>
  </w:style>
  <w:style w:type="paragraph" w:styleId="PlainText">
    <w:name w:val="Plain Text"/>
    <w:basedOn w:val="Normal"/>
    <w:link w:val="PlainTextChar"/>
    <w:uiPriority w:val="99"/>
    <w:semiHidden/>
    <w:unhideWhenUsed/>
    <w:rsid w:val="0051626E"/>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51626E"/>
    <w:rPr>
      <w:rFonts w:ascii="Calibri" w:hAnsi="Calibri"/>
      <w:szCs w:val="21"/>
    </w:rPr>
  </w:style>
  <w:style w:type="character" w:styleId="Hyperlink">
    <w:name w:val="Hyperlink"/>
    <w:basedOn w:val="DefaultParagraphFont"/>
    <w:uiPriority w:val="99"/>
    <w:unhideWhenUsed/>
    <w:rsid w:val="00DA217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A39A6"/>
    <w:pPr>
      <w:spacing w:before="100" w:beforeAutospacing="1" w:after="100" w:afterAutospacing="1" w:line="240" w:lineRule="auto"/>
    </w:pPr>
    <w:rPr>
      <w:rFonts w:ascii="Times New Roman" w:hAnsi="Times New Roman" w:cs="Times New Roman"/>
      <w:sz w:val="24"/>
      <w:szCs w:val="24"/>
    </w:rPr>
  </w:style>
  <w:style w:type="paragraph" w:styleId="ListParagraph">
    <w:name w:val="List Paragraph"/>
    <w:basedOn w:val="Normal"/>
    <w:uiPriority w:val="34"/>
    <w:qFormat/>
    <w:rsid w:val="002A39A6"/>
    <w:pPr>
      <w:spacing w:after="0" w:line="240" w:lineRule="auto"/>
      <w:ind w:left="720"/>
    </w:pPr>
    <w:rPr>
      <w:rFonts w:ascii="Calibri" w:hAnsi="Calibri" w:cs="Times New Roman"/>
    </w:rPr>
  </w:style>
  <w:style w:type="paragraph" w:styleId="PlainText">
    <w:name w:val="Plain Text"/>
    <w:basedOn w:val="Normal"/>
    <w:link w:val="PlainTextChar"/>
    <w:uiPriority w:val="99"/>
    <w:semiHidden/>
    <w:unhideWhenUsed/>
    <w:rsid w:val="0051626E"/>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51626E"/>
    <w:rPr>
      <w:rFonts w:ascii="Calibri" w:hAnsi="Calibri"/>
      <w:szCs w:val="21"/>
    </w:rPr>
  </w:style>
  <w:style w:type="character" w:styleId="Hyperlink">
    <w:name w:val="Hyperlink"/>
    <w:basedOn w:val="DefaultParagraphFont"/>
    <w:uiPriority w:val="99"/>
    <w:unhideWhenUsed/>
    <w:rsid w:val="00DA217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416710">
      <w:bodyDiv w:val="1"/>
      <w:marLeft w:val="0"/>
      <w:marRight w:val="0"/>
      <w:marTop w:val="0"/>
      <w:marBottom w:val="0"/>
      <w:divBdr>
        <w:top w:val="none" w:sz="0" w:space="0" w:color="auto"/>
        <w:left w:val="none" w:sz="0" w:space="0" w:color="auto"/>
        <w:bottom w:val="none" w:sz="0" w:space="0" w:color="auto"/>
        <w:right w:val="none" w:sz="0" w:space="0" w:color="auto"/>
      </w:divBdr>
    </w:div>
    <w:div w:id="173111609">
      <w:bodyDiv w:val="1"/>
      <w:marLeft w:val="0"/>
      <w:marRight w:val="0"/>
      <w:marTop w:val="0"/>
      <w:marBottom w:val="0"/>
      <w:divBdr>
        <w:top w:val="none" w:sz="0" w:space="0" w:color="auto"/>
        <w:left w:val="none" w:sz="0" w:space="0" w:color="auto"/>
        <w:bottom w:val="none" w:sz="0" w:space="0" w:color="auto"/>
        <w:right w:val="none" w:sz="0" w:space="0" w:color="auto"/>
      </w:divBdr>
    </w:div>
    <w:div w:id="517932571">
      <w:bodyDiv w:val="1"/>
      <w:marLeft w:val="0"/>
      <w:marRight w:val="0"/>
      <w:marTop w:val="0"/>
      <w:marBottom w:val="0"/>
      <w:divBdr>
        <w:top w:val="none" w:sz="0" w:space="0" w:color="auto"/>
        <w:left w:val="none" w:sz="0" w:space="0" w:color="auto"/>
        <w:bottom w:val="none" w:sz="0" w:space="0" w:color="auto"/>
        <w:right w:val="none" w:sz="0" w:space="0" w:color="auto"/>
      </w:divBdr>
    </w:div>
    <w:div w:id="809712066">
      <w:bodyDiv w:val="1"/>
      <w:marLeft w:val="0"/>
      <w:marRight w:val="0"/>
      <w:marTop w:val="0"/>
      <w:marBottom w:val="0"/>
      <w:divBdr>
        <w:top w:val="none" w:sz="0" w:space="0" w:color="auto"/>
        <w:left w:val="none" w:sz="0" w:space="0" w:color="auto"/>
        <w:bottom w:val="none" w:sz="0" w:space="0" w:color="auto"/>
        <w:right w:val="none" w:sz="0" w:space="0" w:color="auto"/>
      </w:divBdr>
    </w:div>
    <w:div w:id="1109929403">
      <w:bodyDiv w:val="1"/>
      <w:marLeft w:val="0"/>
      <w:marRight w:val="0"/>
      <w:marTop w:val="0"/>
      <w:marBottom w:val="0"/>
      <w:divBdr>
        <w:top w:val="none" w:sz="0" w:space="0" w:color="auto"/>
        <w:left w:val="none" w:sz="0" w:space="0" w:color="auto"/>
        <w:bottom w:val="none" w:sz="0" w:space="0" w:color="auto"/>
        <w:right w:val="none" w:sz="0" w:space="0" w:color="auto"/>
      </w:divBdr>
    </w:div>
    <w:div w:id="1190607366">
      <w:bodyDiv w:val="1"/>
      <w:marLeft w:val="0"/>
      <w:marRight w:val="0"/>
      <w:marTop w:val="0"/>
      <w:marBottom w:val="0"/>
      <w:divBdr>
        <w:top w:val="none" w:sz="0" w:space="0" w:color="auto"/>
        <w:left w:val="none" w:sz="0" w:space="0" w:color="auto"/>
        <w:bottom w:val="none" w:sz="0" w:space="0" w:color="auto"/>
        <w:right w:val="none" w:sz="0" w:space="0" w:color="auto"/>
      </w:divBdr>
    </w:div>
    <w:div w:id="1400904184">
      <w:bodyDiv w:val="1"/>
      <w:marLeft w:val="0"/>
      <w:marRight w:val="0"/>
      <w:marTop w:val="0"/>
      <w:marBottom w:val="0"/>
      <w:divBdr>
        <w:top w:val="none" w:sz="0" w:space="0" w:color="auto"/>
        <w:left w:val="none" w:sz="0" w:space="0" w:color="auto"/>
        <w:bottom w:val="none" w:sz="0" w:space="0" w:color="auto"/>
        <w:right w:val="none" w:sz="0" w:space="0" w:color="auto"/>
      </w:divBdr>
    </w:div>
    <w:div w:id="1547524310">
      <w:bodyDiv w:val="1"/>
      <w:marLeft w:val="0"/>
      <w:marRight w:val="0"/>
      <w:marTop w:val="0"/>
      <w:marBottom w:val="0"/>
      <w:divBdr>
        <w:top w:val="none" w:sz="0" w:space="0" w:color="auto"/>
        <w:left w:val="none" w:sz="0" w:space="0" w:color="auto"/>
        <w:bottom w:val="none" w:sz="0" w:space="0" w:color="auto"/>
        <w:right w:val="none" w:sz="0" w:space="0" w:color="auto"/>
      </w:divBdr>
    </w:div>
    <w:div w:id="1569995028">
      <w:bodyDiv w:val="1"/>
      <w:marLeft w:val="0"/>
      <w:marRight w:val="0"/>
      <w:marTop w:val="0"/>
      <w:marBottom w:val="0"/>
      <w:divBdr>
        <w:top w:val="none" w:sz="0" w:space="0" w:color="auto"/>
        <w:left w:val="none" w:sz="0" w:space="0" w:color="auto"/>
        <w:bottom w:val="none" w:sz="0" w:space="0" w:color="auto"/>
        <w:right w:val="none" w:sz="0" w:space="0" w:color="auto"/>
      </w:divBdr>
    </w:div>
    <w:div w:id="2037386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ohiohighered.org/affordability-efficiency/advisory-committee" TargetMode="External"/><Relationship Id="rId3" Type="http://schemas.openxmlformats.org/officeDocument/2006/relationships/styles" Target="styles.xml"/><Relationship Id="rId7" Type="http://schemas.openxmlformats.org/officeDocument/2006/relationships/hyperlink" Target="https://www.ohiohighered.org/hei"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E0D2B2-DD3E-47C6-829A-DFB440857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Pages>
  <Words>701</Words>
  <Characters>4000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Ohio Board of Regents</Company>
  <LinksUpToDate>false</LinksUpToDate>
  <CharactersWithSpaces>4692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Jill Dannemiller</dc:creator>
  <cp:lastModifiedBy>Jill Dannemiller</cp:lastModifiedBy>
  <cp:revision>4</cp:revision>
  <dcterms:created xsi:type="dcterms:W3CDTF">2015-10-19T18:25:00Z</dcterms:created>
  <dcterms:modified xsi:type="dcterms:W3CDTF">2015-10-19T18:36:00Z</dcterms:modified>
</cp:coreProperties>
</file>