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08F" w:rsidRDefault="00BC408F" w:rsidP="00BC408F">
      <w:r>
        <w:t>HEI Liaisons Conference Call Agenda</w:t>
      </w:r>
      <w:r w:rsidR="00985758">
        <w:t xml:space="preserve"> and minutes</w:t>
      </w:r>
      <w:r w:rsidR="00BB4E9C">
        <w:t xml:space="preserve"> </w:t>
      </w:r>
      <w:r>
        <w:t xml:space="preserve">– </w:t>
      </w:r>
      <w:r w:rsidR="00BB4E9C">
        <w:t>1/19/2017</w:t>
      </w:r>
    </w:p>
    <w:p w:rsidR="00175AA8" w:rsidRDefault="00407218" w:rsidP="00BB4E9C">
      <w:pPr>
        <w:pStyle w:val="ListParagraph"/>
        <w:numPr>
          <w:ilvl w:val="0"/>
          <w:numId w:val="8"/>
        </w:numPr>
      </w:pPr>
      <w:r>
        <w:t>Complied list of potential file changes</w:t>
      </w:r>
      <w:r w:rsidR="00E270B6">
        <w:t xml:space="preserve"> in new HEI system</w:t>
      </w:r>
      <w:r>
        <w:t xml:space="preserve"> emailed on January </w:t>
      </w:r>
      <w:proofErr w:type="gramStart"/>
      <w:r>
        <w:t>10</w:t>
      </w:r>
      <w:r w:rsidRPr="00407218">
        <w:rPr>
          <w:vertAlign w:val="superscript"/>
        </w:rPr>
        <w:t>th</w:t>
      </w:r>
      <w:proofErr w:type="gramEnd"/>
      <w:r>
        <w:t xml:space="preserve"> – talk throu</w:t>
      </w:r>
      <w:r w:rsidR="00985758">
        <w:t xml:space="preserve">gh time line, questions, issues (see below). </w:t>
      </w:r>
      <w:r w:rsidR="00985758">
        <w:rPr>
          <w:color w:val="FF0000"/>
        </w:rPr>
        <w:t xml:space="preserve">Cohort year </w:t>
      </w:r>
      <w:proofErr w:type="gramStart"/>
      <w:r w:rsidR="00985758">
        <w:rPr>
          <w:color w:val="FF0000"/>
        </w:rPr>
        <w:t>will not be carried</w:t>
      </w:r>
      <w:proofErr w:type="gramEnd"/>
      <w:r w:rsidR="00985758">
        <w:rPr>
          <w:color w:val="FF0000"/>
        </w:rPr>
        <w:t xml:space="preserve"> into the SE file because it is not needed for the National Student Clearing House match. ‘Unknown’ will be available as an option for new items until the data is collected (military and citizenship status, for example). </w:t>
      </w:r>
    </w:p>
    <w:p w:rsidR="00AB5533" w:rsidRDefault="00AB5533" w:rsidP="00BB4E9C">
      <w:pPr>
        <w:pStyle w:val="ListParagraph"/>
        <w:numPr>
          <w:ilvl w:val="0"/>
          <w:numId w:val="8"/>
        </w:numPr>
      </w:pPr>
      <w:r>
        <w:t>New proposal to drop the CB and AL files. Thoughts?</w:t>
      </w:r>
      <w:r w:rsidR="00985758">
        <w:t xml:space="preserve"> </w:t>
      </w:r>
      <w:r w:rsidR="00985758">
        <w:rPr>
          <w:color w:val="FF0000"/>
        </w:rPr>
        <w:t>Please share with financial data report</w:t>
      </w:r>
      <w:r w:rsidR="00D9787F">
        <w:rPr>
          <w:color w:val="FF0000"/>
        </w:rPr>
        <w:t>er</w:t>
      </w:r>
      <w:r w:rsidR="00985758">
        <w:rPr>
          <w:color w:val="FF0000"/>
        </w:rPr>
        <w:t xml:space="preserve">s and provide feedback via email. </w:t>
      </w:r>
    </w:p>
    <w:p w:rsidR="00407218" w:rsidRDefault="00407218" w:rsidP="00BB4E9C">
      <w:pPr>
        <w:pStyle w:val="ListParagraph"/>
        <w:numPr>
          <w:ilvl w:val="0"/>
          <w:numId w:val="8"/>
        </w:numPr>
      </w:pPr>
      <w:r>
        <w:t>FY2017 projections for the 2018 SSI – due February 3</w:t>
      </w:r>
      <w:r w:rsidR="00985758">
        <w:t>,</w:t>
      </w:r>
      <w:r w:rsidR="00207B83">
        <w:rPr>
          <w:vertAlign w:val="superscript"/>
        </w:rPr>
        <w:t xml:space="preserve"> </w:t>
      </w:r>
      <w:r w:rsidR="00207B83">
        <w:t>2017</w:t>
      </w:r>
      <w:r>
        <w:t xml:space="preserve">. </w:t>
      </w:r>
      <w:r w:rsidR="00985758">
        <w:rPr>
          <w:color w:val="FF0000"/>
        </w:rPr>
        <w:t>Asking for ent</w:t>
      </w:r>
      <w:r w:rsidR="00A13E2C">
        <w:rPr>
          <w:color w:val="FF0000"/>
        </w:rPr>
        <w:t>ire academic year 2016-17 projections</w:t>
      </w:r>
      <w:r w:rsidR="00985758">
        <w:rPr>
          <w:color w:val="FF0000"/>
        </w:rPr>
        <w:t xml:space="preserve"> for FTEs – change from recent prior years due to entering a biennial budget cycle. </w:t>
      </w:r>
    </w:p>
    <w:p w:rsidR="00407218" w:rsidRPr="00A13E2C" w:rsidRDefault="00407218" w:rsidP="00BB4E9C">
      <w:pPr>
        <w:pStyle w:val="ListParagraph"/>
        <w:numPr>
          <w:ilvl w:val="0"/>
          <w:numId w:val="8"/>
        </w:numPr>
      </w:pPr>
      <w:r w:rsidRPr="00A13E2C">
        <w:t>Reminder about new codes available for reporting in the</w:t>
      </w:r>
      <w:bookmarkStart w:id="0" w:name="_GoBack"/>
      <w:bookmarkEnd w:id="0"/>
      <w:r w:rsidRPr="00A13E2C">
        <w:t xml:space="preserve"> AC file</w:t>
      </w:r>
      <w:r w:rsidR="00985758" w:rsidRPr="00A13E2C">
        <w:t xml:space="preserve"> – </w:t>
      </w:r>
      <w:r w:rsidR="00985758" w:rsidRPr="00A13E2C">
        <w:rPr>
          <w:color w:val="FF0000"/>
        </w:rPr>
        <w:t>starting with Autumn 2016</w:t>
      </w:r>
      <w:r w:rsidRPr="00A13E2C">
        <w:t>:</w:t>
      </w:r>
    </w:p>
    <w:p w:rsidR="00407218" w:rsidRPr="00A13E2C" w:rsidRDefault="00407218" w:rsidP="00407218">
      <w:pPr>
        <w:numPr>
          <w:ilvl w:val="0"/>
          <w:numId w:val="10"/>
        </w:numPr>
        <w:shd w:val="clear" w:color="auto" w:fill="FFFFFF"/>
        <w:spacing w:before="90" w:after="90" w:line="225" w:lineRule="atLeast"/>
        <w:ind w:right="600"/>
        <w:rPr>
          <w:rFonts w:eastAsia="Times New Roman" w:cs="Helvetica"/>
          <w:color w:val="333333"/>
          <w:sz w:val="20"/>
          <w:szCs w:val="20"/>
        </w:rPr>
      </w:pPr>
      <w:r w:rsidRPr="00A13E2C">
        <w:rPr>
          <w:rFonts w:eastAsia="Times New Roman" w:cs="Helvetica"/>
          <w:b/>
          <w:bCs/>
          <w:color w:val="333333"/>
          <w:sz w:val="20"/>
          <w:szCs w:val="20"/>
        </w:rPr>
        <w:t>Career/Technical (CT):</w:t>
      </w:r>
      <w:r w:rsidRPr="00A13E2C">
        <w:rPr>
          <w:rFonts w:eastAsia="Times New Roman" w:cs="Helvetica"/>
          <w:color w:val="333333"/>
          <w:sz w:val="20"/>
          <w:szCs w:val="20"/>
        </w:rPr>
        <w:t> Transfer credit from K12 career center. (Formerly reported as OC)</w:t>
      </w:r>
    </w:p>
    <w:p w:rsidR="00407218" w:rsidRPr="00A13E2C" w:rsidRDefault="00407218" w:rsidP="00407218">
      <w:pPr>
        <w:numPr>
          <w:ilvl w:val="0"/>
          <w:numId w:val="10"/>
        </w:numPr>
        <w:shd w:val="clear" w:color="auto" w:fill="FFFFFF"/>
        <w:spacing w:before="100" w:beforeAutospacing="1" w:after="90" w:line="225" w:lineRule="atLeast"/>
        <w:ind w:right="600"/>
        <w:rPr>
          <w:rFonts w:eastAsia="Times New Roman" w:cs="Helvetica"/>
          <w:color w:val="333333"/>
          <w:sz w:val="20"/>
          <w:szCs w:val="20"/>
        </w:rPr>
      </w:pPr>
      <w:r w:rsidRPr="00A13E2C">
        <w:rPr>
          <w:rFonts w:eastAsia="Times New Roman" w:cs="Helvetica"/>
          <w:b/>
          <w:bCs/>
          <w:color w:val="333333"/>
          <w:sz w:val="20"/>
          <w:szCs w:val="20"/>
        </w:rPr>
        <w:t>Military Credit (MC): </w:t>
      </w:r>
      <w:r w:rsidRPr="00A13E2C">
        <w:rPr>
          <w:rFonts w:eastAsia="Times New Roman" w:cs="Helvetica"/>
          <w:color w:val="333333"/>
          <w:sz w:val="20"/>
          <w:szCs w:val="20"/>
        </w:rPr>
        <w:t>Transfer credit from military instruction. (Formerly reported as OC)</w:t>
      </w:r>
    </w:p>
    <w:p w:rsidR="000623A1" w:rsidRPr="00A13E2C" w:rsidRDefault="00407218" w:rsidP="000623A1">
      <w:pPr>
        <w:numPr>
          <w:ilvl w:val="0"/>
          <w:numId w:val="10"/>
        </w:numPr>
        <w:shd w:val="clear" w:color="auto" w:fill="FFFFFF"/>
        <w:spacing w:before="100" w:beforeAutospacing="1" w:after="90" w:line="225" w:lineRule="atLeast"/>
        <w:ind w:right="600"/>
        <w:rPr>
          <w:rFonts w:eastAsia="Times New Roman" w:cs="Helvetica"/>
          <w:color w:val="333333"/>
          <w:sz w:val="20"/>
          <w:szCs w:val="20"/>
        </w:rPr>
      </w:pPr>
      <w:r w:rsidRPr="00A13E2C">
        <w:rPr>
          <w:rFonts w:eastAsia="Times New Roman" w:cs="Helvetica"/>
          <w:b/>
          <w:bCs/>
          <w:color w:val="333333"/>
          <w:sz w:val="20"/>
          <w:szCs w:val="20"/>
        </w:rPr>
        <w:t>Advanced Placement (AP): </w:t>
      </w:r>
      <w:r w:rsidRPr="00A13E2C">
        <w:rPr>
          <w:rFonts w:eastAsia="Times New Roman" w:cs="Helvetica"/>
          <w:color w:val="333333"/>
          <w:sz w:val="20"/>
          <w:szCs w:val="20"/>
        </w:rPr>
        <w:t>Credit awarded through advanced placement testing. (Formerly reported as AS)</w:t>
      </w:r>
    </w:p>
    <w:p w:rsidR="00FB2D44" w:rsidRPr="00A13E2C" w:rsidRDefault="00FB2D44" w:rsidP="000623A1">
      <w:pPr>
        <w:numPr>
          <w:ilvl w:val="0"/>
          <w:numId w:val="10"/>
        </w:numPr>
        <w:shd w:val="clear" w:color="auto" w:fill="FFFFFF"/>
        <w:spacing w:before="100" w:beforeAutospacing="1" w:after="90" w:line="225" w:lineRule="atLeast"/>
        <w:ind w:right="600"/>
        <w:rPr>
          <w:rFonts w:eastAsia="Times New Roman" w:cs="Helvetica"/>
          <w:color w:val="333333"/>
          <w:sz w:val="20"/>
          <w:szCs w:val="20"/>
        </w:rPr>
      </w:pPr>
      <w:r w:rsidRPr="00A13E2C">
        <w:rPr>
          <w:rFonts w:eastAsia="Times New Roman" w:cs="Helvetica"/>
          <w:bCs/>
          <w:color w:val="333333"/>
          <w:sz w:val="20"/>
          <w:szCs w:val="20"/>
        </w:rPr>
        <w:t xml:space="preserve">The AC file should only </w:t>
      </w:r>
      <w:proofErr w:type="gramStart"/>
      <w:r w:rsidRPr="00A13E2C">
        <w:rPr>
          <w:rFonts w:eastAsia="Times New Roman" w:cs="Helvetica"/>
          <w:bCs/>
          <w:color w:val="333333"/>
          <w:sz w:val="20"/>
          <w:szCs w:val="20"/>
        </w:rPr>
        <w:t>be reported</w:t>
      </w:r>
      <w:proofErr w:type="gramEnd"/>
      <w:r w:rsidRPr="00A13E2C">
        <w:rPr>
          <w:rFonts w:eastAsia="Times New Roman" w:cs="Helvetica"/>
          <w:bCs/>
          <w:color w:val="333333"/>
          <w:sz w:val="20"/>
          <w:szCs w:val="20"/>
        </w:rPr>
        <w:t xml:space="preserve"> when the student actually enrolls – meaning the year/term of the SE record, not in advance of enrollment.</w:t>
      </w:r>
    </w:p>
    <w:p w:rsidR="000623A1" w:rsidRPr="00A13E2C" w:rsidRDefault="000623A1" w:rsidP="00E63CC8">
      <w:pPr>
        <w:numPr>
          <w:ilvl w:val="0"/>
          <w:numId w:val="8"/>
        </w:numPr>
        <w:shd w:val="clear" w:color="auto" w:fill="FFFFFF"/>
        <w:spacing w:before="100" w:beforeAutospacing="1" w:after="90" w:line="225" w:lineRule="atLeast"/>
        <w:ind w:right="600"/>
      </w:pPr>
      <w:r w:rsidRPr="00A13E2C">
        <w:rPr>
          <w:rFonts w:eastAsia="Times New Roman" w:cs="Helvetica"/>
          <w:color w:val="333333"/>
          <w:sz w:val="20"/>
          <w:szCs w:val="20"/>
        </w:rPr>
        <w:t xml:space="preserve">New Workforce Supply and Demand tool is available: </w:t>
      </w:r>
    </w:p>
    <w:p w:rsidR="000623A1" w:rsidRPr="00A13E2C" w:rsidRDefault="000623A1" w:rsidP="000623A1">
      <w:pPr>
        <w:numPr>
          <w:ilvl w:val="1"/>
          <w:numId w:val="8"/>
        </w:numPr>
        <w:shd w:val="clear" w:color="auto" w:fill="FFFFFF"/>
        <w:spacing w:before="100" w:beforeAutospacing="1" w:after="90" w:line="225" w:lineRule="atLeast"/>
        <w:ind w:right="600"/>
      </w:pPr>
      <w:r w:rsidRPr="00A13E2C">
        <w:rPr>
          <w:rFonts w:eastAsia="Times New Roman" w:cs="Helvetica"/>
          <w:color w:val="333333"/>
          <w:sz w:val="20"/>
          <w:szCs w:val="20"/>
        </w:rPr>
        <w:t xml:space="preserve"> </w:t>
      </w:r>
      <w:hyperlink r:id="rId5" w:history="1">
        <w:r w:rsidRPr="00A13E2C">
          <w:rPr>
            <w:rStyle w:val="Hyperlink"/>
          </w:rPr>
          <w:t>https://workforcesupply.chrr.ohio-state.edu/</w:t>
        </w:r>
      </w:hyperlink>
      <w:r w:rsidRPr="00A13E2C">
        <w:t xml:space="preserve"> </w:t>
      </w:r>
    </w:p>
    <w:p w:rsidR="007D23B0" w:rsidRPr="00A13E2C" w:rsidRDefault="007D23B0" w:rsidP="00C51EBE">
      <w:pPr>
        <w:pStyle w:val="ListParagraph"/>
        <w:numPr>
          <w:ilvl w:val="0"/>
          <w:numId w:val="8"/>
        </w:numPr>
      </w:pPr>
      <w:r w:rsidRPr="00A13E2C">
        <w:t>New report on the CCP payments by individual student for the private a</w:t>
      </w:r>
      <w:r w:rsidR="00F143AC" w:rsidRPr="00A13E2C">
        <w:t xml:space="preserve">nd home school students </w:t>
      </w:r>
      <w:proofErr w:type="gramStart"/>
      <w:r w:rsidR="00F143AC" w:rsidRPr="00A13E2C">
        <w:t>was</w:t>
      </w:r>
      <w:r w:rsidRPr="00A13E2C">
        <w:t xml:space="preserve"> created</w:t>
      </w:r>
      <w:proofErr w:type="gramEnd"/>
      <w:r w:rsidRPr="00A13E2C">
        <w:t xml:space="preserve"> and will be available soon through the ODE SAFE Account. </w:t>
      </w:r>
      <w:r w:rsidRPr="00A13E2C">
        <w:rPr>
          <w:color w:val="FF0000"/>
        </w:rPr>
        <w:t>More details to follow.</w:t>
      </w:r>
    </w:p>
    <w:p w:rsidR="00A8629C" w:rsidRPr="00A13E2C" w:rsidRDefault="00A8629C" w:rsidP="00C51EBE">
      <w:pPr>
        <w:pStyle w:val="ListParagraph"/>
        <w:numPr>
          <w:ilvl w:val="0"/>
          <w:numId w:val="8"/>
        </w:numPr>
      </w:pPr>
      <w:r w:rsidRPr="00A13E2C">
        <w:t>New report on the future of Ohio’s workforce training:</w:t>
      </w:r>
    </w:p>
    <w:p w:rsidR="00A8629C" w:rsidRDefault="00D9787F" w:rsidP="00A8629C">
      <w:hyperlink r:id="rId6" w:history="1">
        <w:r w:rsidR="00A8629C" w:rsidRPr="00214D04">
          <w:rPr>
            <w:rStyle w:val="Hyperlink"/>
          </w:rPr>
          <w:t>http://workforce.ohio.gov/Portals/0/Future%20of%20Workforce%20Report.pdf</w:t>
        </w:r>
      </w:hyperlink>
      <w:r w:rsidR="00A8629C">
        <w:t xml:space="preserve"> </w:t>
      </w:r>
    </w:p>
    <w:p w:rsidR="00C51EBE" w:rsidRDefault="00C51EBE" w:rsidP="00C51EBE">
      <w:pPr>
        <w:pStyle w:val="ListParagraph"/>
        <w:numPr>
          <w:ilvl w:val="0"/>
          <w:numId w:val="8"/>
        </w:numPr>
      </w:pPr>
      <w:r>
        <w:t>Anything else?</w:t>
      </w:r>
    </w:p>
    <w:p w:rsidR="005C3D79" w:rsidRDefault="005C3D79" w:rsidP="005C3D79">
      <w:pPr>
        <w:ind w:left="360"/>
      </w:pPr>
      <w:r>
        <w:rPr>
          <w:noProof/>
        </w:rPr>
        <w:lastRenderedPageBreak/>
        <w:drawing>
          <wp:inline distT="0" distB="0" distL="0" distR="0" wp14:anchorId="5E7C1751" wp14:editId="1F50A1F2">
            <wp:extent cx="5943600" cy="32124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212465"/>
                    </a:xfrm>
                    <a:prstGeom prst="rect">
                      <a:avLst/>
                    </a:prstGeom>
                  </pic:spPr>
                </pic:pic>
              </a:graphicData>
            </a:graphic>
          </wp:inline>
        </w:drawing>
      </w:r>
    </w:p>
    <w:p w:rsidR="005C3D79" w:rsidRDefault="005C3D79" w:rsidP="005C3D79">
      <w:pPr>
        <w:ind w:left="360"/>
      </w:pPr>
      <w:r>
        <w:rPr>
          <w:noProof/>
        </w:rPr>
        <w:drawing>
          <wp:inline distT="0" distB="0" distL="0" distR="0" wp14:anchorId="052F5BFE" wp14:editId="3E703CFB">
            <wp:extent cx="5676900" cy="1171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78451" cy="1171895"/>
                    </a:xfrm>
                    <a:prstGeom prst="rect">
                      <a:avLst/>
                    </a:prstGeom>
                  </pic:spPr>
                </pic:pic>
              </a:graphicData>
            </a:graphic>
          </wp:inline>
        </w:drawing>
      </w:r>
    </w:p>
    <w:sectPr w:rsidR="005C3D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5A2A"/>
    <w:multiLevelType w:val="hybridMultilevel"/>
    <w:tmpl w:val="596CF69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93570"/>
    <w:multiLevelType w:val="hybridMultilevel"/>
    <w:tmpl w:val="26F606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0185A"/>
    <w:multiLevelType w:val="hybridMultilevel"/>
    <w:tmpl w:val="42809E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9240C"/>
    <w:multiLevelType w:val="multilevel"/>
    <w:tmpl w:val="1738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072A9A"/>
    <w:multiLevelType w:val="hybridMultilevel"/>
    <w:tmpl w:val="1F707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D678E7"/>
    <w:multiLevelType w:val="hybridMultilevel"/>
    <w:tmpl w:val="FE082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D42CBA"/>
    <w:multiLevelType w:val="hybridMultilevel"/>
    <w:tmpl w:val="E1F2BA50"/>
    <w:lvl w:ilvl="0" w:tplc="7EE8249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1D7A75"/>
    <w:multiLevelType w:val="hybridMultilevel"/>
    <w:tmpl w:val="5A9EE72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DAB7A07"/>
    <w:multiLevelType w:val="hybridMultilevel"/>
    <w:tmpl w:val="DFC67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186337"/>
    <w:multiLevelType w:val="hybridMultilevel"/>
    <w:tmpl w:val="F56CD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
  </w:num>
  <w:num w:numId="4">
    <w:abstractNumId w:val="5"/>
  </w:num>
  <w:num w:numId="5">
    <w:abstractNumId w:val="4"/>
  </w:num>
  <w:num w:numId="6">
    <w:abstractNumId w:val="9"/>
  </w:num>
  <w:num w:numId="7">
    <w:abstractNumId w:val="0"/>
  </w:num>
  <w:num w:numId="8">
    <w:abstractNumId w:val="6"/>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08F"/>
    <w:rsid w:val="000623A1"/>
    <w:rsid w:val="00082941"/>
    <w:rsid w:val="00082EB9"/>
    <w:rsid w:val="00101FF4"/>
    <w:rsid w:val="00175AA8"/>
    <w:rsid w:val="001F067D"/>
    <w:rsid w:val="00207B83"/>
    <w:rsid w:val="002453C0"/>
    <w:rsid w:val="0033408A"/>
    <w:rsid w:val="003A4627"/>
    <w:rsid w:val="003B6EB1"/>
    <w:rsid w:val="003C3B04"/>
    <w:rsid w:val="0040182E"/>
    <w:rsid w:val="00407218"/>
    <w:rsid w:val="004C075A"/>
    <w:rsid w:val="00527593"/>
    <w:rsid w:val="005C3D79"/>
    <w:rsid w:val="006F7DD4"/>
    <w:rsid w:val="007B212A"/>
    <w:rsid w:val="007D23B0"/>
    <w:rsid w:val="007D4006"/>
    <w:rsid w:val="00985758"/>
    <w:rsid w:val="009A3432"/>
    <w:rsid w:val="00A13E2C"/>
    <w:rsid w:val="00A8629C"/>
    <w:rsid w:val="00AB5533"/>
    <w:rsid w:val="00B73579"/>
    <w:rsid w:val="00BB4E9C"/>
    <w:rsid w:val="00BC408F"/>
    <w:rsid w:val="00C51EBE"/>
    <w:rsid w:val="00CE128B"/>
    <w:rsid w:val="00D67351"/>
    <w:rsid w:val="00D9787F"/>
    <w:rsid w:val="00DB4017"/>
    <w:rsid w:val="00E270B6"/>
    <w:rsid w:val="00F143AC"/>
    <w:rsid w:val="00FB2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C37C5"/>
  <w15:docId w15:val="{1E1F5E6D-3522-433E-96A1-31217F524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08F"/>
    <w:pPr>
      <w:ind w:left="720"/>
      <w:contextualSpacing/>
    </w:pPr>
  </w:style>
  <w:style w:type="character" w:styleId="Hyperlink">
    <w:name w:val="Hyperlink"/>
    <w:basedOn w:val="DefaultParagraphFont"/>
    <w:uiPriority w:val="99"/>
    <w:unhideWhenUsed/>
    <w:rsid w:val="004C075A"/>
    <w:rPr>
      <w:color w:val="0000FF"/>
      <w:u w:val="single"/>
    </w:rPr>
  </w:style>
  <w:style w:type="table" w:styleId="TableGrid">
    <w:name w:val="Table Grid"/>
    <w:basedOn w:val="TableNormal"/>
    <w:uiPriority w:val="59"/>
    <w:rsid w:val="00082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07218"/>
    <w:rPr>
      <w:b/>
      <w:bCs/>
    </w:rPr>
  </w:style>
  <w:style w:type="character" w:customStyle="1" w:styleId="apple-converted-space">
    <w:name w:val="apple-converted-space"/>
    <w:basedOn w:val="DefaultParagraphFont"/>
    <w:rsid w:val="00407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10575">
      <w:bodyDiv w:val="1"/>
      <w:marLeft w:val="0"/>
      <w:marRight w:val="0"/>
      <w:marTop w:val="0"/>
      <w:marBottom w:val="0"/>
      <w:divBdr>
        <w:top w:val="none" w:sz="0" w:space="0" w:color="auto"/>
        <w:left w:val="none" w:sz="0" w:space="0" w:color="auto"/>
        <w:bottom w:val="none" w:sz="0" w:space="0" w:color="auto"/>
        <w:right w:val="none" w:sz="0" w:space="0" w:color="auto"/>
      </w:divBdr>
    </w:div>
    <w:div w:id="905653822">
      <w:bodyDiv w:val="1"/>
      <w:marLeft w:val="0"/>
      <w:marRight w:val="0"/>
      <w:marTop w:val="0"/>
      <w:marBottom w:val="0"/>
      <w:divBdr>
        <w:top w:val="none" w:sz="0" w:space="0" w:color="auto"/>
        <w:left w:val="none" w:sz="0" w:space="0" w:color="auto"/>
        <w:bottom w:val="none" w:sz="0" w:space="0" w:color="auto"/>
        <w:right w:val="none" w:sz="0" w:space="0" w:color="auto"/>
      </w:divBdr>
    </w:div>
    <w:div w:id="960113113">
      <w:bodyDiv w:val="1"/>
      <w:marLeft w:val="0"/>
      <w:marRight w:val="0"/>
      <w:marTop w:val="0"/>
      <w:marBottom w:val="0"/>
      <w:divBdr>
        <w:top w:val="none" w:sz="0" w:space="0" w:color="auto"/>
        <w:left w:val="none" w:sz="0" w:space="0" w:color="auto"/>
        <w:bottom w:val="none" w:sz="0" w:space="0" w:color="auto"/>
        <w:right w:val="none" w:sz="0" w:space="0" w:color="auto"/>
      </w:divBdr>
    </w:div>
    <w:div w:id="1294949471">
      <w:bodyDiv w:val="1"/>
      <w:marLeft w:val="0"/>
      <w:marRight w:val="0"/>
      <w:marTop w:val="0"/>
      <w:marBottom w:val="0"/>
      <w:divBdr>
        <w:top w:val="none" w:sz="0" w:space="0" w:color="auto"/>
        <w:left w:val="none" w:sz="0" w:space="0" w:color="auto"/>
        <w:bottom w:val="none" w:sz="0" w:space="0" w:color="auto"/>
        <w:right w:val="none" w:sz="0" w:space="0" w:color="auto"/>
      </w:divBdr>
    </w:div>
    <w:div w:id="1503206832">
      <w:bodyDiv w:val="1"/>
      <w:marLeft w:val="0"/>
      <w:marRight w:val="0"/>
      <w:marTop w:val="0"/>
      <w:marBottom w:val="0"/>
      <w:divBdr>
        <w:top w:val="none" w:sz="0" w:space="0" w:color="auto"/>
        <w:left w:val="none" w:sz="0" w:space="0" w:color="auto"/>
        <w:bottom w:val="none" w:sz="0" w:space="0" w:color="auto"/>
        <w:right w:val="none" w:sz="0" w:space="0" w:color="auto"/>
      </w:divBdr>
    </w:div>
    <w:div w:id="1782917610">
      <w:bodyDiv w:val="1"/>
      <w:marLeft w:val="0"/>
      <w:marRight w:val="0"/>
      <w:marTop w:val="0"/>
      <w:marBottom w:val="0"/>
      <w:divBdr>
        <w:top w:val="none" w:sz="0" w:space="0" w:color="auto"/>
        <w:left w:val="none" w:sz="0" w:space="0" w:color="auto"/>
        <w:bottom w:val="none" w:sz="0" w:space="0" w:color="auto"/>
        <w:right w:val="none" w:sz="0" w:space="0" w:color="auto"/>
      </w:divBdr>
    </w:div>
    <w:div w:id="204675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orkforce.ohio.gov/Portals/0/Future%20of%20Workforce%20Report.pdf" TargetMode="External"/><Relationship Id="rId5" Type="http://schemas.openxmlformats.org/officeDocument/2006/relationships/hyperlink" Target="https://workforcesupply.chrr.ohio-state.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2</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Ohio Board of Regents</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Dannemiller</dc:creator>
  <cp:lastModifiedBy>Jill Dannemiller</cp:lastModifiedBy>
  <cp:revision>16</cp:revision>
  <dcterms:created xsi:type="dcterms:W3CDTF">2017-01-17T17:05:00Z</dcterms:created>
  <dcterms:modified xsi:type="dcterms:W3CDTF">2017-01-19T19:40:00Z</dcterms:modified>
</cp:coreProperties>
</file>